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92" w:rsidRDefault="009500FB">
      <w:r>
        <w:t>Vermont Milk Commission Worksheet on Farm Bill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870"/>
        <w:gridCol w:w="3870"/>
        <w:gridCol w:w="1525"/>
      </w:tblGrid>
      <w:tr w:rsidR="009500FB" w:rsidTr="009500FB">
        <w:tc>
          <w:tcPr>
            <w:tcW w:w="3685" w:type="dxa"/>
          </w:tcPr>
          <w:p w:rsidR="009500FB" w:rsidRDefault="009500FB">
            <w:r>
              <w:t>Proposal</w:t>
            </w:r>
          </w:p>
        </w:tc>
        <w:tc>
          <w:tcPr>
            <w:tcW w:w="3870" w:type="dxa"/>
          </w:tcPr>
          <w:p w:rsidR="009500FB" w:rsidRDefault="009500FB">
            <w:r>
              <w:t>Expected outcome</w:t>
            </w:r>
          </w:p>
        </w:tc>
        <w:tc>
          <w:tcPr>
            <w:tcW w:w="3870" w:type="dxa"/>
          </w:tcPr>
          <w:p w:rsidR="009500FB" w:rsidRDefault="009500FB">
            <w:r>
              <w:t>Questions more information?</w:t>
            </w:r>
          </w:p>
        </w:tc>
        <w:tc>
          <w:tcPr>
            <w:tcW w:w="1525" w:type="dxa"/>
          </w:tcPr>
          <w:p w:rsidR="009500FB" w:rsidRDefault="009500FB">
            <w:r>
              <w:t xml:space="preserve">Recommend </w:t>
            </w:r>
          </w:p>
        </w:tc>
      </w:tr>
      <w:tr w:rsidR="009500FB" w:rsidTr="009500FB">
        <w:tc>
          <w:tcPr>
            <w:tcW w:w="3685" w:type="dxa"/>
          </w:tcPr>
          <w:p w:rsidR="009500FB" w:rsidRPr="000A3FF3" w:rsidRDefault="009500FB">
            <w:pPr>
              <w:rPr>
                <w:highlight w:val="cyan"/>
              </w:rPr>
            </w:pPr>
            <w:r w:rsidRPr="000A3FF3">
              <w:rPr>
                <w:highlight w:val="cyan"/>
              </w:rPr>
              <w:t>MPP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500FB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Removing the 10% reduction in the feed cost calculation that was implemented in the 2014 Farm Bill</w:t>
            </w:r>
            <w:r w:rsidRPr="000A3FF3">
              <w:rPr>
                <w:bCs/>
                <w:highlight w:val="cyan"/>
              </w:rPr>
              <w:t>,</w:t>
            </w:r>
          </w:p>
        </w:tc>
        <w:tc>
          <w:tcPr>
            <w:tcW w:w="3870" w:type="dxa"/>
          </w:tcPr>
          <w:p w:rsidR="009500FB" w:rsidRDefault="009500FB">
            <w:r>
              <w:t>More accurately reflect feed costs as part of the margin calculation.</w:t>
            </w:r>
            <w:r w:rsidR="00D052C7">
              <w:t xml:space="preserve">  </w:t>
            </w:r>
            <w:r w:rsidR="006F548A">
              <w:t xml:space="preserve">10% reduction costing farmers </w:t>
            </w:r>
            <w:r w:rsidR="00D052C7">
              <w:rPr>
                <w:bCs/>
              </w:rPr>
              <w:t>$1 to $1.50 per hundredweight on the margin calculation, as calculated by Farm Credit Northeast.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500FB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Changing the calculation of the margin and payment from a</w:t>
            </w:r>
            <w:r w:rsidRPr="000A3FF3">
              <w:rPr>
                <w:bCs/>
                <w:highlight w:val="cyan"/>
              </w:rPr>
              <w:t>n</w:t>
            </w:r>
            <w:r w:rsidRPr="000A3FF3">
              <w:rPr>
                <w:bCs/>
                <w:highlight w:val="cyan"/>
              </w:rPr>
              <w:t xml:space="preserve"> every two-month</w:t>
            </w:r>
            <w:r w:rsidRPr="000A3FF3">
              <w:rPr>
                <w:bCs/>
                <w:highlight w:val="cyan"/>
              </w:rPr>
              <w:t xml:space="preserve"> </w:t>
            </w:r>
            <w:r w:rsidRPr="000A3FF3">
              <w:rPr>
                <w:bCs/>
                <w:highlight w:val="cyan"/>
              </w:rPr>
              <w:t xml:space="preserve">occurrence to a </w:t>
            </w:r>
            <w:r w:rsidRPr="000A3FF3">
              <w:rPr>
                <w:bCs/>
                <w:highlight w:val="cyan"/>
              </w:rPr>
              <w:t>one-month</w:t>
            </w:r>
            <w:r w:rsidRPr="000A3FF3">
              <w:rPr>
                <w:bCs/>
                <w:highlight w:val="cyan"/>
              </w:rPr>
              <w:t xml:space="preserve"> occurrence.</w:t>
            </w:r>
          </w:p>
        </w:tc>
        <w:tc>
          <w:tcPr>
            <w:tcW w:w="3870" w:type="dxa"/>
          </w:tcPr>
          <w:p w:rsidR="009500FB" w:rsidRDefault="009500FB">
            <w:r>
              <w:t>During the current Farm Bill – would have been more potential payments if a one-month calculation versus the 2-month average.</w:t>
            </w:r>
            <w:r w:rsidR="005A3893">
              <w:t xml:space="preserve">  One-month calculations under $8 out 12 out of 42 calculations.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500FB" w:rsidP="009500FB">
            <w:pPr>
              <w:pStyle w:val="NoSpacing"/>
              <w:jc w:val="both"/>
              <w:rPr>
                <w:highlight w:val="cyan"/>
              </w:rPr>
            </w:pPr>
            <w:r w:rsidRPr="000A3FF3">
              <w:rPr>
                <w:bCs/>
                <w:highlight w:val="cyan"/>
              </w:rPr>
              <w:t>Corn Price – NASS data is for corn sold by farmers and does not reflect the cost of processing corn and selling that to dairy farmers to feed cattle.  USDA A</w:t>
            </w:r>
            <w:r w:rsidRPr="000A3FF3">
              <w:rPr>
                <w:bCs/>
                <w:highlight w:val="cyan"/>
              </w:rPr>
              <w:t>MS</w:t>
            </w:r>
            <w:r w:rsidRPr="000A3FF3">
              <w:rPr>
                <w:bCs/>
                <w:highlight w:val="cyan"/>
              </w:rPr>
              <w:t xml:space="preserve"> does collect data on corn sold to farmers for feed.</w:t>
            </w:r>
          </w:p>
        </w:tc>
        <w:tc>
          <w:tcPr>
            <w:tcW w:w="3870" w:type="dxa"/>
          </w:tcPr>
          <w:p w:rsidR="009500FB" w:rsidRDefault="009500FB">
            <w:r>
              <w:t>Corn purchased and fed to dairy cattle is estimated to be 20% higher than as sold by a corn farmer.  Improve the calculation of feed price – more accurately reflecting dairy farmer costs.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500FB" w:rsidP="009500FB">
            <w:pPr>
              <w:pStyle w:val="NoSpacing"/>
              <w:jc w:val="both"/>
              <w:rPr>
                <w:highlight w:val="cyan"/>
              </w:rPr>
            </w:pPr>
            <w:r w:rsidRPr="000A3FF3">
              <w:rPr>
                <w:bCs/>
                <w:highlight w:val="cyan"/>
              </w:rPr>
              <w:t>Hay Cost – data set includes all hay at a variety of feed quality levels.  Dairy farmers must purcha</w:t>
            </w:r>
            <w:r w:rsidRPr="000A3FF3">
              <w:rPr>
                <w:bCs/>
                <w:highlight w:val="cyan"/>
              </w:rPr>
              <w:t xml:space="preserve">se high quality hay to maintain </w:t>
            </w:r>
            <w:r w:rsidRPr="000A3FF3">
              <w:rPr>
                <w:bCs/>
                <w:highlight w:val="cyan"/>
              </w:rPr>
              <w:t>milk production.  Qu</w:t>
            </w:r>
            <w:r w:rsidRPr="000A3FF3">
              <w:rPr>
                <w:bCs/>
                <w:highlight w:val="cyan"/>
              </w:rPr>
              <w:t>a</w:t>
            </w:r>
            <w:r w:rsidRPr="000A3FF3">
              <w:rPr>
                <w:bCs/>
                <w:highlight w:val="cyan"/>
              </w:rPr>
              <w:t>lity of the hay should be reflected in the price calculation.</w:t>
            </w:r>
            <w:r w:rsidRPr="000A3FF3">
              <w:rPr>
                <w:highlight w:val="cyan"/>
              </w:rPr>
              <w:t xml:space="preserve"> </w:t>
            </w:r>
          </w:p>
        </w:tc>
        <w:tc>
          <w:tcPr>
            <w:tcW w:w="3870" w:type="dxa"/>
          </w:tcPr>
          <w:p w:rsidR="009500FB" w:rsidRDefault="009500FB">
            <w:r>
              <w:t>Improve the calculation of feed price – more accurately reflecting dairy farmer costs</w:t>
            </w:r>
            <w:r>
              <w:t>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500FB" w:rsidP="009500FB">
            <w:pPr>
              <w:pStyle w:val="NoSpacing"/>
              <w:jc w:val="both"/>
              <w:rPr>
                <w:highlight w:val="cyan"/>
              </w:rPr>
            </w:pPr>
            <w:r w:rsidRPr="000A3FF3">
              <w:rPr>
                <w:bCs/>
                <w:highlight w:val="cyan"/>
              </w:rPr>
              <w:t>Soybean Meal – data set has used a pricing point in Illinois as an indicator</w:t>
            </w:r>
            <w:r w:rsidRPr="000A3FF3">
              <w:rPr>
                <w:bCs/>
                <w:highlight w:val="cyan"/>
              </w:rPr>
              <w:t xml:space="preserve"> </w:t>
            </w:r>
            <w:r w:rsidRPr="000A3FF3">
              <w:rPr>
                <w:bCs/>
                <w:highlight w:val="cyan"/>
              </w:rPr>
              <w:t>for</w:t>
            </w:r>
            <w:r w:rsidRPr="000A3FF3">
              <w:rPr>
                <w:bCs/>
                <w:highlight w:val="cyan"/>
              </w:rPr>
              <w:t xml:space="preserve"> the whole nation.  Data exists </w:t>
            </w:r>
            <w:r w:rsidRPr="000A3FF3">
              <w:rPr>
                <w:bCs/>
                <w:highlight w:val="cyan"/>
              </w:rPr>
              <w:t xml:space="preserve">for 11 pricing points in the United States.  All pricing point data </w:t>
            </w:r>
            <w:r w:rsidRPr="000A3FF3">
              <w:rPr>
                <w:bCs/>
                <w:highlight w:val="cyan"/>
              </w:rPr>
              <w:lastRenderedPageBreak/>
              <w:t>should be averaged and used in the calculation.</w:t>
            </w:r>
          </w:p>
        </w:tc>
        <w:tc>
          <w:tcPr>
            <w:tcW w:w="3870" w:type="dxa"/>
          </w:tcPr>
          <w:p w:rsidR="009500FB" w:rsidRDefault="009500FB">
            <w:r>
              <w:lastRenderedPageBreak/>
              <w:t>Improve the calculation of feed price – more accurately reflecting dairy farmer costs</w:t>
            </w:r>
            <w:r>
              <w:t>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500FB" w:rsidP="009500FB">
            <w:pPr>
              <w:pStyle w:val="NoSpacing"/>
              <w:jc w:val="both"/>
              <w:rPr>
                <w:highlight w:val="cyan"/>
              </w:rPr>
            </w:pPr>
            <w:r w:rsidRPr="000A3FF3">
              <w:rPr>
                <w:bCs/>
                <w:highlight w:val="cyan"/>
              </w:rPr>
              <w:t>The premiums to purchase further insurance</w:t>
            </w:r>
            <w:r w:rsidRPr="000A3FF3">
              <w:rPr>
                <w:bCs/>
                <w:highlight w:val="cyan"/>
              </w:rPr>
              <w:t xml:space="preserve"> </w:t>
            </w:r>
            <w:r w:rsidRPr="000A3FF3">
              <w:rPr>
                <w:bCs/>
                <w:highlight w:val="cyan"/>
              </w:rPr>
              <w:t>should be reviewed and recalculated. 2014 Farm Bill work occurred over 5 years ago and fundamentals</w:t>
            </w:r>
            <w:r w:rsidRPr="000A3FF3">
              <w:rPr>
                <w:bCs/>
                <w:highlight w:val="cyan"/>
              </w:rPr>
              <w:t xml:space="preserve"> </w:t>
            </w:r>
            <w:r w:rsidRPr="000A3FF3">
              <w:rPr>
                <w:bCs/>
                <w:highlight w:val="cyan"/>
              </w:rPr>
              <w:t>have changed.</w:t>
            </w:r>
          </w:p>
        </w:tc>
        <w:tc>
          <w:tcPr>
            <w:tcW w:w="3870" w:type="dxa"/>
          </w:tcPr>
          <w:p w:rsidR="009500FB" w:rsidRDefault="009500FB">
            <w:r>
              <w:t>More realistic premium levels for farmers who take part in the program.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500FB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Deadline for sign up for this program should be moved from September to December in each calendar</w:t>
            </w:r>
            <w:r w:rsidRPr="000A3FF3">
              <w:rPr>
                <w:bCs/>
                <w:highlight w:val="cyan"/>
              </w:rPr>
              <w:t xml:space="preserve"> </w:t>
            </w:r>
            <w:r w:rsidRPr="000A3FF3">
              <w:rPr>
                <w:bCs/>
                <w:highlight w:val="cyan"/>
              </w:rPr>
              <w:t xml:space="preserve">year.  </w:t>
            </w:r>
          </w:p>
        </w:tc>
        <w:tc>
          <w:tcPr>
            <w:tcW w:w="3870" w:type="dxa"/>
          </w:tcPr>
          <w:p w:rsidR="009500FB" w:rsidRDefault="009500FB">
            <w:r>
              <w:rPr>
                <w:bCs/>
              </w:rPr>
              <w:t>This would provide greater clarity for farmers to make informed insurance decisions.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8E6769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Include Organic Feed and Pay prices in the program for organic dairy producers to manage risk.</w:t>
            </w:r>
          </w:p>
        </w:tc>
        <w:tc>
          <w:tcPr>
            <w:tcW w:w="3870" w:type="dxa"/>
          </w:tcPr>
          <w:p w:rsidR="009500FB" w:rsidRDefault="008E6769">
            <w:r>
              <w:t>Provide protection for organic dairy farmers.  Would need to determine organic feed pricing and milk pricing information.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9B0F06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Change the margin range</w:t>
            </w:r>
            <w:r w:rsidR="00251BE0" w:rsidRPr="000A3FF3">
              <w:rPr>
                <w:bCs/>
                <w:highlight w:val="cyan"/>
              </w:rPr>
              <w:t xml:space="preserve">.  Different proposals one $5 to $9 and one </w:t>
            </w:r>
            <w:r w:rsidRPr="000A3FF3">
              <w:rPr>
                <w:bCs/>
                <w:highlight w:val="cyan"/>
              </w:rPr>
              <w:t>$6 to $10/cwt.</w:t>
            </w:r>
          </w:p>
        </w:tc>
        <w:tc>
          <w:tcPr>
            <w:tcW w:w="3870" w:type="dxa"/>
          </w:tcPr>
          <w:p w:rsidR="009500FB" w:rsidRDefault="009B0F06">
            <w:r>
              <w:t xml:space="preserve">2 – month calculation has only been under $8 margin 6 out of 21 total calculations.  </w:t>
            </w:r>
            <w:r w:rsidR="005A3893">
              <w:t>Average of 2-month calculations $9.927292.  Lowest $5.76277.  Highest $15.51136.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9500FB" w:rsidTr="009500FB">
        <w:tc>
          <w:tcPr>
            <w:tcW w:w="3685" w:type="dxa"/>
          </w:tcPr>
          <w:p w:rsidR="009500FB" w:rsidRPr="000A3FF3" w:rsidRDefault="00182D44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Keep premium level lower for top margins.  Currently doubles at the top margin level.</w:t>
            </w:r>
          </w:p>
        </w:tc>
        <w:tc>
          <w:tcPr>
            <w:tcW w:w="3870" w:type="dxa"/>
          </w:tcPr>
          <w:p w:rsidR="009500FB" w:rsidRDefault="00182D44">
            <w:r>
              <w:t>Encourage sign up and coverage that would be meaningful.</w:t>
            </w:r>
          </w:p>
        </w:tc>
        <w:tc>
          <w:tcPr>
            <w:tcW w:w="3870" w:type="dxa"/>
          </w:tcPr>
          <w:p w:rsidR="009500FB" w:rsidRDefault="009500FB"/>
        </w:tc>
        <w:tc>
          <w:tcPr>
            <w:tcW w:w="1525" w:type="dxa"/>
          </w:tcPr>
          <w:p w:rsidR="009500FB" w:rsidRDefault="009500FB"/>
        </w:tc>
      </w:tr>
      <w:tr w:rsidR="00182D44" w:rsidTr="009500FB">
        <w:tc>
          <w:tcPr>
            <w:tcW w:w="3685" w:type="dxa"/>
          </w:tcPr>
          <w:p w:rsidR="00182D44" w:rsidRPr="000A3FF3" w:rsidRDefault="00182D44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Premium waivers for beginning farmers or socially disadvantaged farmers.</w:t>
            </w:r>
          </w:p>
        </w:tc>
        <w:tc>
          <w:tcPr>
            <w:tcW w:w="3870" w:type="dxa"/>
          </w:tcPr>
          <w:p w:rsidR="00182D44" w:rsidRDefault="00182D44">
            <w:r>
              <w:t>USDA definitions for both categories.  Encourage use and protect those that are more vulnerable.</w:t>
            </w:r>
          </w:p>
        </w:tc>
        <w:tc>
          <w:tcPr>
            <w:tcW w:w="3870" w:type="dxa"/>
          </w:tcPr>
          <w:p w:rsidR="00182D44" w:rsidRDefault="00182D44"/>
        </w:tc>
        <w:tc>
          <w:tcPr>
            <w:tcW w:w="1525" w:type="dxa"/>
          </w:tcPr>
          <w:p w:rsidR="00182D44" w:rsidRDefault="00182D44"/>
        </w:tc>
      </w:tr>
      <w:tr w:rsidR="00182D44" w:rsidTr="009500FB">
        <w:tc>
          <w:tcPr>
            <w:tcW w:w="3685" w:type="dxa"/>
          </w:tcPr>
          <w:p w:rsidR="00182D44" w:rsidRPr="000A3FF3" w:rsidRDefault="00182D44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Famers not required to lock into the program for the whole life of the Farm Bill.</w:t>
            </w:r>
          </w:p>
        </w:tc>
        <w:tc>
          <w:tcPr>
            <w:tcW w:w="3870" w:type="dxa"/>
          </w:tcPr>
          <w:p w:rsidR="00182D44" w:rsidRDefault="00182D44">
            <w:r>
              <w:t>Flexibility to use the best program available.</w:t>
            </w:r>
          </w:p>
        </w:tc>
        <w:tc>
          <w:tcPr>
            <w:tcW w:w="3870" w:type="dxa"/>
          </w:tcPr>
          <w:p w:rsidR="00182D44" w:rsidRDefault="00182D44"/>
        </w:tc>
        <w:tc>
          <w:tcPr>
            <w:tcW w:w="1525" w:type="dxa"/>
          </w:tcPr>
          <w:p w:rsidR="00182D44" w:rsidRDefault="00182D44"/>
        </w:tc>
      </w:tr>
      <w:tr w:rsidR="00182D44" w:rsidTr="009500FB">
        <w:tc>
          <w:tcPr>
            <w:tcW w:w="3685" w:type="dxa"/>
          </w:tcPr>
          <w:p w:rsidR="00182D44" w:rsidRPr="000A3FF3" w:rsidRDefault="00182D44" w:rsidP="009500FB">
            <w:pPr>
              <w:pStyle w:val="NoSpacing"/>
              <w:jc w:val="both"/>
              <w:rPr>
                <w:bCs/>
                <w:highlight w:val="cyan"/>
              </w:rPr>
            </w:pPr>
            <w:r w:rsidRPr="000A3FF3">
              <w:rPr>
                <w:bCs/>
                <w:highlight w:val="cyan"/>
              </w:rPr>
              <w:t>Make Livestock Gross Margin -Dairy (LGM) more compatible with MPP</w:t>
            </w:r>
          </w:p>
        </w:tc>
        <w:tc>
          <w:tcPr>
            <w:tcW w:w="3870" w:type="dxa"/>
          </w:tcPr>
          <w:p w:rsidR="00182D44" w:rsidRDefault="00182D44">
            <w:r>
              <w:t>Flexibility to use either program – especially if not locked in.</w:t>
            </w:r>
          </w:p>
        </w:tc>
        <w:tc>
          <w:tcPr>
            <w:tcW w:w="3870" w:type="dxa"/>
          </w:tcPr>
          <w:p w:rsidR="00182D44" w:rsidRDefault="00182D44"/>
        </w:tc>
        <w:tc>
          <w:tcPr>
            <w:tcW w:w="1525" w:type="dxa"/>
          </w:tcPr>
          <w:p w:rsidR="00182D44" w:rsidRDefault="00182D44"/>
        </w:tc>
      </w:tr>
      <w:tr w:rsidR="00182D44" w:rsidTr="009500FB">
        <w:tc>
          <w:tcPr>
            <w:tcW w:w="3685" w:type="dxa"/>
          </w:tcPr>
          <w:p w:rsidR="00182D44" w:rsidRDefault="00182D44" w:rsidP="009500FB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3870" w:type="dxa"/>
          </w:tcPr>
          <w:p w:rsidR="00182D44" w:rsidRDefault="00182D44"/>
        </w:tc>
        <w:tc>
          <w:tcPr>
            <w:tcW w:w="3870" w:type="dxa"/>
          </w:tcPr>
          <w:p w:rsidR="00182D44" w:rsidRDefault="00182D44"/>
        </w:tc>
        <w:tc>
          <w:tcPr>
            <w:tcW w:w="1525" w:type="dxa"/>
          </w:tcPr>
          <w:p w:rsidR="00182D44" w:rsidRDefault="00182D44"/>
        </w:tc>
      </w:tr>
      <w:tr w:rsidR="000A3FF3" w:rsidTr="009500FB">
        <w:tc>
          <w:tcPr>
            <w:tcW w:w="3685" w:type="dxa"/>
          </w:tcPr>
          <w:p w:rsidR="000A3FF3" w:rsidRPr="00831145" w:rsidRDefault="000A3FF3" w:rsidP="009500FB">
            <w:pPr>
              <w:pStyle w:val="NoSpacing"/>
              <w:jc w:val="both"/>
              <w:rPr>
                <w:bCs/>
                <w:highlight w:val="green"/>
              </w:rPr>
            </w:pPr>
            <w:r w:rsidRPr="00831145">
              <w:rPr>
                <w:bCs/>
                <w:highlight w:val="green"/>
              </w:rPr>
              <w:lastRenderedPageBreak/>
              <w:t>Organic Program</w:t>
            </w:r>
          </w:p>
        </w:tc>
        <w:tc>
          <w:tcPr>
            <w:tcW w:w="3870" w:type="dxa"/>
          </w:tcPr>
          <w:p w:rsidR="000A3FF3" w:rsidRDefault="000A3FF3"/>
        </w:tc>
        <w:tc>
          <w:tcPr>
            <w:tcW w:w="3870" w:type="dxa"/>
          </w:tcPr>
          <w:p w:rsidR="000A3FF3" w:rsidRDefault="000A3FF3"/>
        </w:tc>
        <w:tc>
          <w:tcPr>
            <w:tcW w:w="1525" w:type="dxa"/>
          </w:tcPr>
          <w:p w:rsidR="000A3FF3" w:rsidRDefault="000A3FF3"/>
        </w:tc>
      </w:tr>
      <w:tr w:rsidR="000A3FF3" w:rsidTr="009500FB">
        <w:tc>
          <w:tcPr>
            <w:tcW w:w="3685" w:type="dxa"/>
          </w:tcPr>
          <w:p w:rsidR="000A3FF3" w:rsidRPr="00831145" w:rsidRDefault="000A3FF3" w:rsidP="009500FB">
            <w:pPr>
              <w:pStyle w:val="NoSpacing"/>
              <w:jc w:val="both"/>
              <w:rPr>
                <w:bCs/>
                <w:highlight w:val="green"/>
              </w:rPr>
            </w:pPr>
            <w:r w:rsidRPr="00831145">
              <w:rPr>
                <w:bCs/>
                <w:highlight w:val="green"/>
              </w:rPr>
              <w:t>Professional License for Organic Certifiers</w:t>
            </w:r>
          </w:p>
        </w:tc>
        <w:tc>
          <w:tcPr>
            <w:tcW w:w="3870" w:type="dxa"/>
          </w:tcPr>
          <w:p w:rsidR="000A3FF3" w:rsidRDefault="000A3FF3">
            <w:r>
              <w:t>Concerns that certifiers are treating farms differently and letting organic dairies slide – looking for consistency and equity across the US.</w:t>
            </w:r>
          </w:p>
        </w:tc>
        <w:tc>
          <w:tcPr>
            <w:tcW w:w="3870" w:type="dxa"/>
          </w:tcPr>
          <w:p w:rsidR="000A3FF3" w:rsidRDefault="000A3FF3"/>
          <w:p w:rsidR="000A3FF3" w:rsidRDefault="000A3FF3" w:rsidP="000A3FF3"/>
          <w:p w:rsidR="000A3FF3" w:rsidRPr="000A3FF3" w:rsidRDefault="000A3FF3" w:rsidP="000A3FF3">
            <w:pPr>
              <w:tabs>
                <w:tab w:val="left" w:pos="1025"/>
              </w:tabs>
            </w:pPr>
            <w:r>
              <w:tab/>
            </w:r>
          </w:p>
        </w:tc>
        <w:tc>
          <w:tcPr>
            <w:tcW w:w="1525" w:type="dxa"/>
          </w:tcPr>
          <w:p w:rsidR="000A3FF3" w:rsidRDefault="000A3FF3"/>
        </w:tc>
      </w:tr>
      <w:tr w:rsidR="000A3FF3" w:rsidTr="009500FB">
        <w:tc>
          <w:tcPr>
            <w:tcW w:w="3685" w:type="dxa"/>
          </w:tcPr>
          <w:p w:rsidR="000A3FF3" w:rsidRPr="00831145" w:rsidRDefault="000A3FF3" w:rsidP="000A3FF3">
            <w:pPr>
              <w:pStyle w:val="NoSpacing"/>
              <w:jc w:val="both"/>
              <w:rPr>
                <w:bCs/>
                <w:highlight w:val="green"/>
              </w:rPr>
            </w:pPr>
            <w:r w:rsidRPr="00831145">
              <w:rPr>
                <w:bCs/>
                <w:highlight w:val="green"/>
              </w:rPr>
              <w:t>Consistent interpretation and implementation of Livestock Feed and Living conditions.</w:t>
            </w:r>
          </w:p>
        </w:tc>
        <w:tc>
          <w:tcPr>
            <w:tcW w:w="3870" w:type="dxa"/>
          </w:tcPr>
          <w:p w:rsidR="000A3FF3" w:rsidRDefault="000A3FF3" w:rsidP="000A3FF3">
            <w:r>
              <w:t>Concerns that certifiers are treating farms differently and letting organic dairies slide – looking for consistency and equity across the US.</w:t>
            </w:r>
            <w:r>
              <w:t xml:space="preserve">  Especially pasture for large farm and ability to transition animals into the herd.  500 cow dairy herds and up must be inspected by licensed certifier shown above!</w:t>
            </w:r>
          </w:p>
        </w:tc>
        <w:tc>
          <w:tcPr>
            <w:tcW w:w="3870" w:type="dxa"/>
          </w:tcPr>
          <w:p w:rsidR="000A3FF3" w:rsidRDefault="000A3FF3" w:rsidP="000A3FF3"/>
        </w:tc>
        <w:tc>
          <w:tcPr>
            <w:tcW w:w="1525" w:type="dxa"/>
          </w:tcPr>
          <w:p w:rsidR="000A3FF3" w:rsidRDefault="000A3FF3" w:rsidP="000A3FF3"/>
        </w:tc>
      </w:tr>
      <w:tr w:rsidR="000A3FF3" w:rsidTr="009500FB">
        <w:tc>
          <w:tcPr>
            <w:tcW w:w="3685" w:type="dxa"/>
          </w:tcPr>
          <w:p w:rsidR="000A3FF3" w:rsidRPr="00831145" w:rsidRDefault="000A3FF3" w:rsidP="000A3FF3">
            <w:pPr>
              <w:pStyle w:val="NoSpacing"/>
              <w:jc w:val="both"/>
              <w:rPr>
                <w:bCs/>
                <w:highlight w:val="green"/>
              </w:rPr>
            </w:pPr>
            <w:r w:rsidRPr="00831145">
              <w:rPr>
                <w:bCs/>
                <w:highlight w:val="green"/>
              </w:rPr>
              <w:t>Organic Production Market and Data Initiative – fund and expand collection of organic data. $5 million per year nationally.</w:t>
            </w:r>
          </w:p>
        </w:tc>
        <w:tc>
          <w:tcPr>
            <w:tcW w:w="3870" w:type="dxa"/>
          </w:tcPr>
          <w:p w:rsidR="000A3FF3" w:rsidRDefault="000A3FF3" w:rsidP="000A3FF3">
            <w:r>
              <w:t>Used for market information, determining risk management tools, tracking production trends and export markets.</w:t>
            </w:r>
          </w:p>
        </w:tc>
        <w:tc>
          <w:tcPr>
            <w:tcW w:w="3870" w:type="dxa"/>
          </w:tcPr>
          <w:p w:rsidR="000A3FF3" w:rsidRDefault="000A3FF3" w:rsidP="000A3FF3"/>
        </w:tc>
        <w:tc>
          <w:tcPr>
            <w:tcW w:w="1525" w:type="dxa"/>
          </w:tcPr>
          <w:p w:rsidR="000A3FF3" w:rsidRDefault="000A3FF3" w:rsidP="000A3FF3"/>
        </w:tc>
      </w:tr>
      <w:tr w:rsidR="000A3FF3" w:rsidTr="009500FB">
        <w:tc>
          <w:tcPr>
            <w:tcW w:w="3685" w:type="dxa"/>
          </w:tcPr>
          <w:p w:rsidR="000A3FF3" w:rsidRPr="00831145" w:rsidRDefault="000A3FF3" w:rsidP="000A3FF3">
            <w:pPr>
              <w:pStyle w:val="NoSpacing"/>
              <w:jc w:val="both"/>
              <w:rPr>
                <w:bCs/>
                <w:highlight w:val="green"/>
              </w:rPr>
            </w:pPr>
            <w:r w:rsidRPr="00831145">
              <w:rPr>
                <w:bCs/>
                <w:highlight w:val="green"/>
              </w:rPr>
              <w:t>Change to Organic Food and Protection Act – within the Farm Bill</w:t>
            </w:r>
          </w:p>
          <w:p w:rsidR="00E27CD9" w:rsidRPr="00831145" w:rsidRDefault="00E27CD9" w:rsidP="000A3FF3">
            <w:pPr>
              <w:pStyle w:val="NoSpacing"/>
              <w:jc w:val="both"/>
              <w:rPr>
                <w:bCs/>
                <w:highlight w:val="green"/>
              </w:rPr>
            </w:pPr>
            <w:r w:rsidRPr="00831145">
              <w:rPr>
                <w:bCs/>
                <w:highlight w:val="green"/>
              </w:rPr>
              <w:t xml:space="preserve">End the </w:t>
            </w:r>
            <w:proofErr w:type="gramStart"/>
            <w:r w:rsidRPr="00831145">
              <w:rPr>
                <w:bCs/>
                <w:highlight w:val="green"/>
              </w:rPr>
              <w:t>one year</w:t>
            </w:r>
            <w:proofErr w:type="gramEnd"/>
            <w:r w:rsidRPr="00831145">
              <w:rPr>
                <w:bCs/>
                <w:highlight w:val="green"/>
              </w:rPr>
              <w:t xml:space="preserve"> heifer and cow transition to organic.</w:t>
            </w:r>
          </w:p>
        </w:tc>
        <w:tc>
          <w:tcPr>
            <w:tcW w:w="3870" w:type="dxa"/>
          </w:tcPr>
          <w:p w:rsidR="000A3FF3" w:rsidRDefault="00E27CD9" w:rsidP="000A3FF3">
            <w:r>
              <w:t xml:space="preserve">One-time transition of heifers and cows to organic production over a </w:t>
            </w:r>
            <w:proofErr w:type="gramStart"/>
            <w:r>
              <w:t>1 year</w:t>
            </w:r>
            <w:proofErr w:type="gramEnd"/>
            <w:r>
              <w:t xml:space="preserve"> term.  Some farms and areas of the country continuing to transition cows on a yearly basis.  End because organic industry is large enough to purchase cows – not transition.</w:t>
            </w:r>
          </w:p>
        </w:tc>
        <w:tc>
          <w:tcPr>
            <w:tcW w:w="3870" w:type="dxa"/>
          </w:tcPr>
          <w:p w:rsidR="000A3FF3" w:rsidRDefault="000A3FF3" w:rsidP="000A3FF3"/>
        </w:tc>
        <w:tc>
          <w:tcPr>
            <w:tcW w:w="1525" w:type="dxa"/>
          </w:tcPr>
          <w:p w:rsidR="000A3FF3" w:rsidRDefault="000A3FF3" w:rsidP="000A3FF3"/>
        </w:tc>
      </w:tr>
      <w:tr w:rsidR="000A3FF3" w:rsidTr="009500FB">
        <w:tc>
          <w:tcPr>
            <w:tcW w:w="3685" w:type="dxa"/>
          </w:tcPr>
          <w:p w:rsidR="000A3FF3" w:rsidRDefault="000A3FF3" w:rsidP="000A3FF3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3870" w:type="dxa"/>
          </w:tcPr>
          <w:p w:rsidR="000A3FF3" w:rsidRDefault="000A3FF3" w:rsidP="000A3FF3"/>
        </w:tc>
        <w:tc>
          <w:tcPr>
            <w:tcW w:w="3870" w:type="dxa"/>
          </w:tcPr>
          <w:p w:rsidR="000A3FF3" w:rsidRDefault="000A3FF3" w:rsidP="000A3FF3"/>
        </w:tc>
        <w:tc>
          <w:tcPr>
            <w:tcW w:w="1525" w:type="dxa"/>
          </w:tcPr>
          <w:p w:rsidR="000A3FF3" w:rsidRDefault="000A3FF3" w:rsidP="000A3FF3"/>
        </w:tc>
      </w:tr>
      <w:tr w:rsidR="004F3D4B" w:rsidTr="009500FB">
        <w:tc>
          <w:tcPr>
            <w:tcW w:w="3685" w:type="dxa"/>
          </w:tcPr>
          <w:p w:rsidR="004F3D4B" w:rsidRPr="00135EEA" w:rsidRDefault="004F3D4B" w:rsidP="000A3FF3">
            <w:pPr>
              <w:pStyle w:val="NoSpacing"/>
              <w:jc w:val="both"/>
              <w:rPr>
                <w:bCs/>
                <w:highlight w:val="magenta"/>
              </w:rPr>
            </w:pPr>
            <w:r w:rsidRPr="00135EEA">
              <w:rPr>
                <w:bCs/>
                <w:highlight w:val="magenta"/>
              </w:rPr>
              <w:t>Nutrition</w:t>
            </w:r>
          </w:p>
        </w:tc>
        <w:tc>
          <w:tcPr>
            <w:tcW w:w="3870" w:type="dxa"/>
          </w:tcPr>
          <w:p w:rsidR="004F3D4B" w:rsidRDefault="004F3D4B" w:rsidP="000A3FF3"/>
        </w:tc>
        <w:tc>
          <w:tcPr>
            <w:tcW w:w="3870" w:type="dxa"/>
          </w:tcPr>
          <w:p w:rsidR="004F3D4B" w:rsidRDefault="004F3D4B" w:rsidP="000A3FF3"/>
        </w:tc>
        <w:tc>
          <w:tcPr>
            <w:tcW w:w="1525" w:type="dxa"/>
          </w:tcPr>
          <w:p w:rsidR="004F3D4B" w:rsidRDefault="004F3D4B" w:rsidP="000A3FF3"/>
        </w:tc>
      </w:tr>
      <w:tr w:rsidR="004F3D4B" w:rsidTr="009500FB">
        <w:tc>
          <w:tcPr>
            <w:tcW w:w="3685" w:type="dxa"/>
          </w:tcPr>
          <w:p w:rsidR="004F3D4B" w:rsidRPr="00135EEA" w:rsidRDefault="004F3D4B" w:rsidP="000A3FF3">
            <w:pPr>
              <w:pStyle w:val="NoSpacing"/>
              <w:jc w:val="both"/>
              <w:rPr>
                <w:bCs/>
                <w:highlight w:val="magenta"/>
              </w:rPr>
            </w:pPr>
            <w:r w:rsidRPr="00135EEA">
              <w:rPr>
                <w:bCs/>
                <w:highlight w:val="magenta"/>
              </w:rPr>
              <w:t>Potential to change dietary guidelines for feeding programs to include whole milk dairy products.</w:t>
            </w:r>
            <w:bookmarkStart w:id="0" w:name="_GoBack"/>
            <w:bookmarkEnd w:id="0"/>
          </w:p>
        </w:tc>
        <w:tc>
          <w:tcPr>
            <w:tcW w:w="3870" w:type="dxa"/>
          </w:tcPr>
          <w:p w:rsidR="004F3D4B" w:rsidRDefault="004F3D4B" w:rsidP="000A3FF3">
            <w:r>
              <w:t>New research shows that whole milk dairy products are positive for health and diabetes management.</w:t>
            </w:r>
          </w:p>
        </w:tc>
        <w:tc>
          <w:tcPr>
            <w:tcW w:w="3870" w:type="dxa"/>
          </w:tcPr>
          <w:p w:rsidR="004F3D4B" w:rsidRDefault="004F3D4B" w:rsidP="000A3FF3"/>
        </w:tc>
        <w:tc>
          <w:tcPr>
            <w:tcW w:w="1525" w:type="dxa"/>
          </w:tcPr>
          <w:p w:rsidR="004F3D4B" w:rsidRDefault="004F3D4B" w:rsidP="000A3FF3"/>
        </w:tc>
      </w:tr>
      <w:tr w:rsidR="004F3D4B" w:rsidTr="009500FB">
        <w:tc>
          <w:tcPr>
            <w:tcW w:w="3685" w:type="dxa"/>
          </w:tcPr>
          <w:p w:rsidR="004F3D4B" w:rsidRDefault="004F3D4B" w:rsidP="000A3FF3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3870" w:type="dxa"/>
          </w:tcPr>
          <w:p w:rsidR="004F3D4B" w:rsidRDefault="004F3D4B" w:rsidP="000A3FF3"/>
        </w:tc>
        <w:tc>
          <w:tcPr>
            <w:tcW w:w="3870" w:type="dxa"/>
          </w:tcPr>
          <w:p w:rsidR="004F3D4B" w:rsidRDefault="004F3D4B" w:rsidP="000A3FF3"/>
        </w:tc>
        <w:tc>
          <w:tcPr>
            <w:tcW w:w="1525" w:type="dxa"/>
          </w:tcPr>
          <w:p w:rsidR="004F3D4B" w:rsidRDefault="004F3D4B" w:rsidP="000A3FF3"/>
        </w:tc>
      </w:tr>
    </w:tbl>
    <w:p w:rsidR="009500FB" w:rsidRDefault="009500FB"/>
    <w:sectPr w:rsidR="009500FB" w:rsidSect="009500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AE1"/>
    <w:multiLevelType w:val="hybridMultilevel"/>
    <w:tmpl w:val="03005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3DC8"/>
    <w:multiLevelType w:val="hybridMultilevel"/>
    <w:tmpl w:val="B936E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FB"/>
    <w:rsid w:val="000A3FF3"/>
    <w:rsid w:val="00135EEA"/>
    <w:rsid w:val="00182D44"/>
    <w:rsid w:val="00187955"/>
    <w:rsid w:val="00251BE0"/>
    <w:rsid w:val="004F3D4B"/>
    <w:rsid w:val="005A3893"/>
    <w:rsid w:val="006F548A"/>
    <w:rsid w:val="00831145"/>
    <w:rsid w:val="008B3B0D"/>
    <w:rsid w:val="008E6769"/>
    <w:rsid w:val="009500FB"/>
    <w:rsid w:val="009B0F06"/>
    <w:rsid w:val="00B36E24"/>
    <w:rsid w:val="00D052C7"/>
    <w:rsid w:val="00D81A41"/>
    <w:rsid w:val="00E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7B30"/>
  <w15:chartTrackingRefBased/>
  <w15:docId w15:val="{6817A1EE-9557-4AB4-9B94-D7F1F5B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Bothfeld, Diane</dc:creator>
  <cp:keywords/>
  <dc:description/>
  <cp:lastModifiedBy>Bothfeld, Diane</cp:lastModifiedBy>
  <cp:revision>9</cp:revision>
  <dcterms:created xsi:type="dcterms:W3CDTF">2017-10-20T16:14:00Z</dcterms:created>
  <dcterms:modified xsi:type="dcterms:W3CDTF">2017-10-20T17:08:00Z</dcterms:modified>
</cp:coreProperties>
</file>